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391520" w14:textId="77777777" w:rsidR="00EE3EC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>Supplementary Figures for “Genetic Polymorphisms Associated with Adverse Pregnancy Outcomes in Nulliparas</w:t>
      </w:r>
      <w:r>
        <w:rPr>
          <w:rFonts w:ascii="Times New Roman" w:eastAsia="Times New Roman" w:hAnsi="Times New Roman" w:cs="Times New Roman"/>
          <w:sz w:val="26"/>
          <w:szCs w:val="26"/>
        </w:rPr>
        <w:t>”</w:t>
      </w:r>
      <w:r>
        <w:rPr>
          <w:rFonts w:ascii="Times New Roman" w:eastAsia="Times New Roman" w:hAnsi="Times New Roman" w:cs="Times New Roman"/>
          <w:b/>
          <w:sz w:val="26"/>
          <w:szCs w:val="26"/>
        </w:rPr>
        <w:t>:</w:t>
      </w:r>
    </w:p>
    <w:p w14:paraId="0AEC3D7A" w14:textId="77777777" w:rsidR="00EE3ECE" w:rsidRDefault="00EE3EC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23FF246C" w14:textId="77777777" w:rsidR="00EE3ECE" w:rsidRDefault="00000000">
      <w:pPr>
        <w:widowControl w:val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6D9DABC2" wp14:editId="54D3265D">
            <wp:extent cx="4443413" cy="2727219"/>
            <wp:effectExtent l="0" t="0" r="0" b="0"/>
            <wp:docPr id="12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43413" cy="27272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25186E" w14:textId="77777777" w:rsidR="00EE3ECE" w:rsidRDefault="00EE3ECE">
      <w:pPr>
        <w:widowControl w:val="0"/>
        <w:jc w:val="both"/>
        <w:rPr>
          <w:rFonts w:ascii="Times New Roman" w:eastAsia="Times New Roman" w:hAnsi="Times New Roman" w:cs="Times New Roman"/>
        </w:rPr>
      </w:pPr>
    </w:p>
    <w:p w14:paraId="4026FB98" w14:textId="2C5F68A4" w:rsidR="00EE3ECE" w:rsidRDefault="00000000">
      <w:pPr>
        <w:widowControl w:val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S1: Inbreeding coefficient (F-statistic) distribution for nuMoM2b subjects. Individual heterozygosity level was estimated using PLINK1.9.</w:t>
      </w:r>
    </w:p>
    <w:p w14:paraId="328EC292" w14:textId="77777777" w:rsidR="00EE3ECE" w:rsidRDefault="00000000">
      <w:pPr>
        <w:widowControl w:val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4373A569" wp14:editId="469D8F00">
            <wp:extent cx="4691063" cy="3390495"/>
            <wp:effectExtent l="0" t="0" r="0" b="0"/>
            <wp:docPr id="9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1063" cy="3390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CB3867" w14:textId="77777777" w:rsidR="00EE3ECE" w:rsidRDefault="00EE3ECE">
      <w:pPr>
        <w:widowControl w:val="0"/>
        <w:jc w:val="both"/>
        <w:rPr>
          <w:rFonts w:ascii="Times New Roman" w:eastAsia="Times New Roman" w:hAnsi="Times New Roman" w:cs="Times New Roman"/>
        </w:rPr>
      </w:pPr>
    </w:p>
    <w:p w14:paraId="743F8754" w14:textId="77777777" w:rsidR="00EE3ECE" w:rsidRDefault="00000000">
      <w:pPr>
        <w:widowControl w:val="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S2: Estimated pairwise kinship coefficients in nuMoM2b subjects using the KING-Robust algorithm. Close relatives can be inferred based on the following cutoffs (shown by the vertical lines): &gt;0.354 = duplicate/monozygotic twin, [0.177, 0.354] = 1st-degree relationships, [0.0884, 0.177] = 2nd-</w:t>
      </w:r>
      <w:r>
        <w:rPr>
          <w:rFonts w:ascii="Times New Roman" w:eastAsia="Times New Roman" w:hAnsi="Times New Roman" w:cs="Times New Roman"/>
        </w:rPr>
        <w:lastRenderedPageBreak/>
        <w:t>degree relationships, [0.0442, 0.0884] = 3rd-degree relationships.</w:t>
      </w:r>
    </w:p>
    <w:p w14:paraId="44379F65" w14:textId="77777777" w:rsidR="00EE3EC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noProof/>
          <w:sz w:val="26"/>
          <w:szCs w:val="26"/>
        </w:rPr>
        <w:drawing>
          <wp:inline distT="114300" distB="114300" distL="114300" distR="114300" wp14:anchorId="2583D562" wp14:editId="4D9DD709">
            <wp:extent cx="3571628" cy="4008258"/>
            <wp:effectExtent l="0" t="0" r="0" b="0"/>
            <wp:docPr id="2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71628" cy="40082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EAC587" w14:textId="77777777" w:rsidR="00EE3EC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Figure S3: Ancestry analysis of the nuMoM2b study participants. The first two principal components computed by PLINK1.9 are color coded according to the participant’s dominant ancestry as identified by </w:t>
      </w:r>
      <w:proofErr w:type="spellStart"/>
      <w:r>
        <w:rPr>
          <w:rFonts w:ascii="Times New Roman" w:eastAsia="Times New Roman" w:hAnsi="Times New Roman" w:cs="Times New Roman"/>
        </w:rPr>
        <w:t>SNPweights</w:t>
      </w:r>
      <w:proofErr w:type="spellEnd"/>
      <w:r>
        <w:rPr>
          <w:rFonts w:ascii="Times New Roman" w:eastAsia="Times New Roman" w:hAnsi="Times New Roman" w:cs="Times New Roman"/>
        </w:rPr>
        <w:t xml:space="preserve"> markers (&gt;50%): EUR - European, AFR - African, AMR - Admixed Americans, EAS - East Asian, SAS - South Asian. All subjects identified as “OTHER” do not have any ancestry percentage that is greater than 50%.  </w:t>
      </w:r>
    </w:p>
    <w:p w14:paraId="5DA88BBB" w14:textId="77777777" w:rsidR="00EE3ECE" w:rsidRDefault="00EE3EC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</w:rPr>
      </w:pPr>
    </w:p>
    <w:p w14:paraId="26056DE9" w14:textId="77777777" w:rsidR="00EE3EC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3B4F4438" wp14:editId="6AF8EAEA">
            <wp:extent cx="5943600" cy="2159000"/>
            <wp:effectExtent l="0" t="0" r="0" b="0"/>
            <wp:docPr id="20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59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956497A" w14:textId="77777777" w:rsidR="00EE3ECE" w:rsidRDefault="00EE3EC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</w:rPr>
      </w:pPr>
    </w:p>
    <w:p w14:paraId="3E4DB240" w14:textId="77777777" w:rsidR="00EE3EC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Figure S4: Ancestry proportions of all subjects, who are grouped by their self-reported race, in the nuMoM2b cohort, as determined by </w:t>
      </w:r>
      <w:proofErr w:type="spellStart"/>
      <w:r>
        <w:rPr>
          <w:rFonts w:ascii="Times New Roman" w:eastAsia="Times New Roman" w:hAnsi="Times New Roman" w:cs="Times New Roman"/>
        </w:rPr>
        <w:t>SNPWeights</w:t>
      </w:r>
      <w:proofErr w:type="spellEnd"/>
      <w:r>
        <w:rPr>
          <w:rFonts w:ascii="Times New Roman" w:eastAsia="Times New Roman" w:hAnsi="Times New Roman" w:cs="Times New Roman"/>
        </w:rPr>
        <w:t xml:space="preserve"> v.2.1. Each color represents a different ancestral component, using the 1000 Genomes super populations: South-Asians (SAS), East-Asians (EAS), </w:t>
      </w:r>
      <w:r>
        <w:rPr>
          <w:rFonts w:ascii="Times New Roman" w:eastAsia="Times New Roman" w:hAnsi="Times New Roman" w:cs="Times New Roman"/>
        </w:rPr>
        <w:lastRenderedPageBreak/>
        <w:t>Americans (AMR), Africans (AFR), Europeans (EUR).</w:t>
      </w:r>
    </w:p>
    <w:p w14:paraId="45BC0E6D" w14:textId="77777777" w:rsidR="00EE3ECE" w:rsidRDefault="00EE3EC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</w:rPr>
      </w:pPr>
    </w:p>
    <w:p w14:paraId="5A8248E2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6A58F34A" wp14:editId="717A4774">
            <wp:extent cx="3529013" cy="3529013"/>
            <wp:effectExtent l="0" t="0" r="0" b="0"/>
            <wp:docPr id="16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29013" cy="35290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332E569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S5: Q-Q Plot Pregnancy Loss Meta-Analysis</w:t>
      </w:r>
    </w:p>
    <w:p w14:paraId="6297C8C8" w14:textId="77777777" w:rsidR="00EE3ECE" w:rsidRDefault="00EE3ECE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</w:rPr>
      </w:pPr>
    </w:p>
    <w:p w14:paraId="73FE801D" w14:textId="77777777" w:rsidR="00EE3EC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noProof/>
          <w:sz w:val="26"/>
          <w:szCs w:val="26"/>
        </w:rPr>
        <w:drawing>
          <wp:inline distT="114300" distB="114300" distL="114300" distR="114300" wp14:anchorId="7B142AB8" wp14:editId="4FB7BF2B">
            <wp:extent cx="3319463" cy="3319463"/>
            <wp:effectExtent l="0" t="0" r="0" b="0"/>
            <wp:docPr id="1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19463" cy="33194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85C21D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S6: Q-Q Plot Gestation Length Meta-Analysis</w:t>
      </w:r>
    </w:p>
    <w:p w14:paraId="77748376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4BE43729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0D24EBF3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5C7C8AC3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572DA4DE" wp14:editId="0D1AC719">
            <wp:extent cx="3529013" cy="3529013"/>
            <wp:effectExtent l="0" t="0" r="0" b="0"/>
            <wp:docPr id="19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29013" cy="35290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0E4519A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421B56F7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S7: Q-Q Plot Gestational Diabetes Meta-Analysis</w:t>
      </w:r>
    </w:p>
    <w:p w14:paraId="2DE4094A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20452145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5754B384" wp14:editId="6777B9F3">
            <wp:extent cx="5943600" cy="2679700"/>
            <wp:effectExtent l="0" t="0" r="0" b="0"/>
            <wp:docPr id="5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1A0F30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Figure S8: Manhattan Plot of the Meta-Analysis of Preeclampsia.  </w:t>
      </w:r>
    </w:p>
    <w:p w14:paraId="5DC563FA" w14:textId="77777777" w:rsidR="00EE3ECE" w:rsidRDefault="00EE3EC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</w:rPr>
      </w:pPr>
    </w:p>
    <w:p w14:paraId="789948DB" w14:textId="77777777" w:rsidR="00EE3EC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114300" distB="114300" distL="114300" distR="114300" wp14:anchorId="772587CD" wp14:editId="75D7AC38">
            <wp:extent cx="3424238" cy="3424238"/>
            <wp:effectExtent l="0" t="0" r="0" b="0"/>
            <wp:docPr id="1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4238" cy="34242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8CEE00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S9: Q-Q Plot Preeclampsia Meta-Analysis</w:t>
      </w:r>
    </w:p>
    <w:p w14:paraId="589333D1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2237AD26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4CFA4493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6DF6DDFF" wp14:editId="32AF7101">
            <wp:extent cx="5376863" cy="3160723"/>
            <wp:effectExtent l="0" t="0" r="0" b="0"/>
            <wp:docPr id="13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76863" cy="316072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82596F7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S10: Linkage disequilibrium plot of top SNP rs62021480 in the pregnancy loss GWAS</w:t>
      </w:r>
    </w:p>
    <w:p w14:paraId="151D5A39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221B040A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19050" distB="19050" distL="19050" distR="19050" wp14:anchorId="0F8F0676" wp14:editId="7CF7A133">
            <wp:extent cx="4948238" cy="3915804"/>
            <wp:effectExtent l="0" t="0" r="0" b="0"/>
            <wp:docPr id="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6"/>
                    <a:srcRect t="4807"/>
                    <a:stretch>
                      <a:fillRect/>
                    </a:stretch>
                  </pic:blipFill>
                  <pic:spPr>
                    <a:xfrm>
                      <a:off x="0" y="0"/>
                      <a:ext cx="4948238" cy="391580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176CA7B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S11: Linkage disequilibrium plot of top SNP rs142795512 from the pregnancy loss GWAS</w:t>
      </w:r>
    </w:p>
    <w:p w14:paraId="454271CD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9050" distB="19050" distL="19050" distR="19050" wp14:anchorId="42F0148B" wp14:editId="0F50EB72">
            <wp:extent cx="4776788" cy="3782398"/>
            <wp:effectExtent l="0" t="0" r="0" b="0"/>
            <wp:docPr id="18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7"/>
                    <a:srcRect t="5054" b="-429"/>
                    <a:stretch>
                      <a:fillRect/>
                    </a:stretch>
                  </pic:blipFill>
                  <pic:spPr>
                    <a:xfrm>
                      <a:off x="0" y="0"/>
                      <a:ext cx="4776788" cy="37823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14AA41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Figure S12: The 95% credible set of causal SNPs at the </w:t>
      </w:r>
      <w:r>
        <w:rPr>
          <w:rFonts w:ascii="Times New Roman" w:eastAsia="Times New Roman" w:hAnsi="Times New Roman" w:cs="Times New Roman"/>
          <w:i/>
        </w:rPr>
        <w:t>TRMU</w:t>
      </w:r>
      <w:r>
        <w:rPr>
          <w:rFonts w:ascii="Times New Roman" w:eastAsia="Times New Roman" w:hAnsi="Times New Roman" w:cs="Times New Roman"/>
        </w:rPr>
        <w:t xml:space="preserve"> locus from the pregnancy loss GWAS</w:t>
      </w:r>
    </w:p>
    <w:p w14:paraId="30D44A51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114300" distB="114300" distL="114300" distR="114300" wp14:anchorId="2E652AD0" wp14:editId="7A284274">
            <wp:extent cx="5072063" cy="3621615"/>
            <wp:effectExtent l="0" t="0" r="0" b="0"/>
            <wp:docPr id="17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18"/>
                    <a:srcRect t="1087"/>
                    <a:stretch>
                      <a:fillRect/>
                    </a:stretch>
                  </pic:blipFill>
                  <pic:spPr>
                    <a:xfrm>
                      <a:off x="0" y="0"/>
                      <a:ext cx="5072063" cy="36216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B33E2EF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S13: Linkage disequilibrium plot of top SNP rs2550487 from the gestational length GWAS</w:t>
      </w:r>
    </w:p>
    <w:p w14:paraId="7095DF09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409A51E8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7B4511DC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758A549F" wp14:editId="56DD5AF6">
            <wp:extent cx="4900613" cy="3574461"/>
            <wp:effectExtent l="0" t="0" r="0" b="0"/>
            <wp:docPr id="8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00613" cy="35744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3CB2A4C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S14: Linkage disequilibrium plot of top SNP rs2550487 from the gestational length GWAS</w:t>
      </w:r>
    </w:p>
    <w:p w14:paraId="44226560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114300" distB="114300" distL="114300" distR="114300" wp14:anchorId="04F76B4F" wp14:editId="22DC644F">
            <wp:extent cx="4691063" cy="2613969"/>
            <wp:effectExtent l="0" t="0" r="0" b="0"/>
            <wp:docPr id="1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1063" cy="26139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697DD74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S15: Linkage disequilibrium plot of top SNP rs72956265 from the GDM GWAS</w:t>
      </w:r>
    </w:p>
    <w:p w14:paraId="3B179337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12778A5D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7C00DD6C" wp14:editId="483B7750">
            <wp:extent cx="4701382" cy="2508910"/>
            <wp:effectExtent l="0" t="0" r="0" b="0"/>
            <wp:docPr id="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1382" cy="2508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F03BC0C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Figure S16: The 95% credible set of causal SNPs at the </w:t>
      </w:r>
      <w:r>
        <w:rPr>
          <w:rFonts w:ascii="Times New Roman" w:eastAsia="Times New Roman" w:hAnsi="Times New Roman" w:cs="Times New Roman"/>
          <w:i/>
        </w:rPr>
        <w:t>ZBTB20</w:t>
      </w:r>
      <w:r>
        <w:rPr>
          <w:rFonts w:ascii="Times New Roman" w:eastAsia="Times New Roman" w:hAnsi="Times New Roman" w:cs="Times New Roman"/>
        </w:rPr>
        <w:t xml:space="preserve"> locus from the GDM GWAS</w:t>
      </w:r>
    </w:p>
    <w:p w14:paraId="1D51DCEC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689504ED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37EAE4F8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495ED503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561EA28A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704E68CA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0B16F35D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0A82F282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5C9E0FC9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36D07274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75C39D36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19050" distB="19050" distL="19050" distR="19050" wp14:anchorId="2C5D144D" wp14:editId="09E09874">
            <wp:extent cx="4772739" cy="2185988"/>
            <wp:effectExtent l="0" t="0" r="0" b="0"/>
            <wp:docPr id="3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22"/>
                    <a:srcRect t="1550"/>
                    <a:stretch>
                      <a:fillRect/>
                    </a:stretch>
                  </pic:blipFill>
                  <pic:spPr>
                    <a:xfrm>
                      <a:off x="0" y="0"/>
                      <a:ext cx="4772739" cy="21859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C730EFC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1512C8D1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S17: Linkage disequilibrium plot of top SNP rs79596863 from the GDM GWAS</w:t>
      </w:r>
    </w:p>
    <w:p w14:paraId="0CAEC9BA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287DA935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9050" distB="19050" distL="19050" distR="19050" wp14:anchorId="084562C0" wp14:editId="68EA1399">
            <wp:extent cx="4795838" cy="2233803"/>
            <wp:effectExtent l="0" t="0" r="0" b="0"/>
            <wp:docPr id="14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95838" cy="22338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7D1186A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Figure S18: The 95% credible set of causal SNPs at the </w:t>
      </w:r>
      <w:r>
        <w:rPr>
          <w:rFonts w:ascii="Times New Roman" w:eastAsia="Times New Roman" w:hAnsi="Times New Roman" w:cs="Times New Roman"/>
          <w:i/>
        </w:rPr>
        <w:t>RPL7P20</w:t>
      </w:r>
      <w:r>
        <w:rPr>
          <w:rFonts w:ascii="Times New Roman" w:eastAsia="Times New Roman" w:hAnsi="Times New Roman" w:cs="Times New Roman"/>
        </w:rPr>
        <w:t xml:space="preserve"> locus from the GDM GWAS</w:t>
      </w:r>
    </w:p>
    <w:p w14:paraId="2BA28342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14925245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4C6AEBFF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3CEC61B0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536C84CA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114300" distB="114300" distL="114300" distR="114300" wp14:anchorId="76FEC918" wp14:editId="277588DE">
            <wp:extent cx="4881563" cy="2715799"/>
            <wp:effectExtent l="0" t="0" r="0" b="0"/>
            <wp:docPr id="6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24"/>
                    <a:srcRect t="1340"/>
                    <a:stretch>
                      <a:fillRect/>
                    </a:stretch>
                  </pic:blipFill>
                  <pic:spPr>
                    <a:xfrm>
                      <a:off x="0" y="0"/>
                      <a:ext cx="4881563" cy="271579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2F09C9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S19: Linkage disequilibrium plot of top SNP rs10890563 from the GDM GWAS</w:t>
      </w:r>
    </w:p>
    <w:p w14:paraId="789713AC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56DA9B67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1B88AA3E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64F7CE9C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11BE1875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44BCF58E" w14:textId="77777777" w:rsidR="00EE3ECE" w:rsidRDefault="00EE3ECE">
      <w:pPr>
        <w:widowControl w:val="0"/>
        <w:rPr>
          <w:rFonts w:ascii="Times New Roman" w:eastAsia="Times New Roman" w:hAnsi="Times New Roman" w:cs="Times New Roman"/>
        </w:rPr>
      </w:pPr>
    </w:p>
    <w:p w14:paraId="20251324" w14:textId="77777777" w:rsidR="00EE3EC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63107CBF" wp14:editId="0A8E8BE6">
            <wp:extent cx="5943600" cy="3022600"/>
            <wp:effectExtent l="0" t="0" r="0" b="0"/>
            <wp:docPr id="15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22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5C1BA7" w14:textId="77777777" w:rsidR="00EE3ECE" w:rsidRDefault="00000000">
      <w:pPr>
        <w:widowContro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Figure S20. Genomic region that showed transcriptome-wide significant association with pregnancy loss. (</w:t>
      </w:r>
      <w:proofErr w:type="spellStart"/>
      <w:r>
        <w:rPr>
          <w:rFonts w:ascii="Times New Roman" w:eastAsia="Times New Roman" w:hAnsi="Times New Roman" w:cs="Times New Roman"/>
        </w:rPr>
        <w:t>eQTL</w:t>
      </w:r>
      <w:proofErr w:type="spellEnd"/>
      <w:r>
        <w:rPr>
          <w:rFonts w:ascii="Times New Roman" w:eastAsia="Times New Roman" w:hAnsi="Times New Roman" w:cs="Times New Roman"/>
        </w:rPr>
        <w:t xml:space="preserve"> rs7290732; </w:t>
      </w:r>
      <w:proofErr w:type="spellStart"/>
      <w:r>
        <w:rPr>
          <w:rFonts w:ascii="Times New Roman" w:eastAsia="Times New Roman" w:hAnsi="Times New Roman" w:cs="Times New Roman"/>
        </w:rPr>
        <w:t>eQTL</w:t>
      </w:r>
      <w:proofErr w:type="spellEnd"/>
      <w:r>
        <w:rPr>
          <w:rFonts w:ascii="Times New Roman" w:eastAsia="Times New Roman" w:hAnsi="Times New Roman" w:cs="Times New Roman"/>
        </w:rPr>
        <w:t xml:space="preserve"> Z-score = 5.11, ‘</w:t>
      </w:r>
      <w:proofErr w:type="spellStart"/>
      <w:r>
        <w:rPr>
          <w:rFonts w:ascii="Times New Roman" w:eastAsia="Times New Roman" w:hAnsi="Times New Roman" w:cs="Times New Roman"/>
        </w:rPr>
        <w:t>eNet</w:t>
      </w:r>
      <w:proofErr w:type="spellEnd"/>
      <w:r>
        <w:rPr>
          <w:rFonts w:ascii="Times New Roman" w:eastAsia="Times New Roman" w:hAnsi="Times New Roman" w:cs="Times New Roman"/>
        </w:rPr>
        <w:t xml:space="preserve">’ model, TWAS Z-score =5.16, TWAS </w:t>
      </w:r>
      <w:r>
        <w:rPr>
          <w:rFonts w:ascii="Times New Roman" w:eastAsia="Times New Roman" w:hAnsi="Times New Roman" w:cs="Times New Roman"/>
          <w:i/>
        </w:rPr>
        <w:t>P</w:t>
      </w:r>
      <w:r>
        <w:rPr>
          <w:rFonts w:ascii="Times New Roman" w:eastAsia="Times New Roman" w:hAnsi="Times New Roman" w:cs="Times New Roman"/>
        </w:rPr>
        <w:t xml:space="preserve">-value = 2.39e-7). Top: Genes in the region. In green, the gene with significant association. Bottom: GWAS results for the region before (grey) and after (blue) conditioning on TTC38. </w:t>
      </w:r>
    </w:p>
    <w:sectPr w:rsidR="00EE3ECE">
      <w:headerReference w:type="default" r:id="rId26"/>
      <w:footerReference w:type="default" r:id="rId2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3227D5" w14:textId="77777777" w:rsidR="007C7854" w:rsidRDefault="007C7854">
      <w:pPr>
        <w:spacing w:line="240" w:lineRule="auto"/>
      </w:pPr>
      <w:r>
        <w:separator/>
      </w:r>
    </w:p>
  </w:endnote>
  <w:endnote w:type="continuationSeparator" w:id="0">
    <w:p w14:paraId="47D90DF6" w14:textId="77777777" w:rsidR="007C7854" w:rsidRDefault="007C785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78DEE5" w14:textId="77777777" w:rsidR="00EE3ECE" w:rsidRDefault="00EE3EC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3EBA71" w14:textId="77777777" w:rsidR="007C7854" w:rsidRDefault="007C7854">
      <w:pPr>
        <w:spacing w:line="240" w:lineRule="auto"/>
      </w:pPr>
      <w:r>
        <w:separator/>
      </w:r>
    </w:p>
  </w:footnote>
  <w:footnote w:type="continuationSeparator" w:id="0">
    <w:p w14:paraId="2C95884C" w14:textId="77777777" w:rsidR="007C7854" w:rsidRDefault="007C785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37E84E" w14:textId="77777777" w:rsidR="00EE3ECE" w:rsidRDefault="00EE3ECE">
    <w:pPr>
      <w:widowControl w:val="0"/>
      <w:rPr>
        <w:rFonts w:ascii="Times New Roman" w:eastAsia="Times New Roman" w:hAnsi="Times New Roman" w:cs="Times New Roman"/>
      </w:rPr>
    </w:pPr>
  </w:p>
  <w:p w14:paraId="2AD7EF2C" w14:textId="77777777" w:rsidR="00EE3ECE" w:rsidRDefault="00EE3ECE">
    <w:pPr>
      <w:rPr>
        <w:rFonts w:ascii="Times New Roman" w:eastAsia="Times New Roman" w:hAnsi="Times New Roman" w:cs="Times New Roman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3ECE"/>
    <w:rsid w:val="0079564D"/>
    <w:rsid w:val="007C7854"/>
    <w:rsid w:val="00EE3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36A9A6A"/>
  <w15:docId w15:val="{9E73639C-F7B6-6844-9004-80FD14AA2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443</Words>
  <Characters>2528</Characters>
  <Application>Microsoft Office Word</Application>
  <DocSecurity>0</DocSecurity>
  <Lines>21</Lines>
  <Paragraphs>5</Paragraphs>
  <ScaleCrop>false</ScaleCrop>
  <Company/>
  <LinksUpToDate>false</LinksUpToDate>
  <CharactersWithSpaces>2966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rrk2147</cp:lastModifiedBy>
  <cp:revision>2</cp:revision>
  <dcterms:created xsi:type="dcterms:W3CDTF">2023-09-28T02:35:00Z</dcterms:created>
  <dcterms:modified xsi:type="dcterms:W3CDTF">2023-09-28T02:35:00Z</dcterms:modified>
</cp:coreProperties>
</file>